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D87" w14:textId="77777777" w:rsidR="005A1D34" w:rsidRDefault="00352CCC" w:rsidP="005A1D34">
      <w:pPr>
        <w:spacing w:after="0"/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A2291A" wp14:editId="190FBAFE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1932940" cy="633095"/>
            <wp:effectExtent l="0" t="0" r="0" b="0"/>
            <wp:wrapTight wrapText="bothSides">
              <wp:wrapPolygon edited="0">
                <wp:start x="2767" y="650"/>
                <wp:lineTo x="1703" y="4550"/>
                <wp:lineTo x="852" y="9099"/>
                <wp:lineTo x="639" y="14299"/>
                <wp:lineTo x="639" y="20148"/>
                <wp:lineTo x="6599" y="20148"/>
                <wp:lineTo x="20223" y="17549"/>
                <wp:lineTo x="20862" y="14949"/>
                <wp:lineTo x="17669" y="12349"/>
                <wp:lineTo x="19159" y="11049"/>
                <wp:lineTo x="18307" y="2600"/>
                <wp:lineTo x="4258" y="650"/>
                <wp:lineTo x="2767" y="65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TO LEARNING LOGO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B5">
        <w:rPr>
          <w:rFonts w:ascii="Verdana" w:hAnsi="Verdana"/>
          <w:sz w:val="36"/>
          <w:szCs w:val="36"/>
        </w:rPr>
        <w:t>Malpractice Policy</w:t>
      </w:r>
    </w:p>
    <w:p w14:paraId="1B36CF9D" w14:textId="0C30515C" w:rsidR="005A1D34" w:rsidRPr="0061142A" w:rsidRDefault="0061142A" w:rsidP="005A1D34">
      <w:pPr>
        <w:pBdr>
          <w:bottom w:val="single" w:sz="12" w:space="1" w:color="auto"/>
        </w:pBdr>
        <w:rPr>
          <w:rFonts w:ascii="Verdana" w:hAnsi="Verdana"/>
          <w:color w:val="000000" w:themeColor="text1"/>
          <w:sz w:val="36"/>
          <w:szCs w:val="36"/>
        </w:rPr>
      </w:pPr>
      <w:r w:rsidRPr="0061142A">
        <w:rPr>
          <w:rFonts w:ascii="Verdana" w:hAnsi="Verdana"/>
          <w:color w:val="000000" w:themeColor="text1"/>
          <w:sz w:val="36"/>
          <w:szCs w:val="36"/>
        </w:rPr>
        <w:t>January 2019</w:t>
      </w:r>
    </w:p>
    <w:p w14:paraId="20C77D06" w14:textId="77777777" w:rsidR="005A1D34" w:rsidRDefault="005A1D34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Scope and Rationale</w:t>
      </w:r>
    </w:p>
    <w:p w14:paraId="2014117E" w14:textId="77777777" w:rsidR="005A1D34" w:rsidRDefault="005A1D34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3CEFDF19" w14:textId="40B472BA" w:rsidR="005A1D34" w:rsidRDefault="005A1D34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This policy sets out how CANTO Learning addresses any issues regarding </w:t>
      </w:r>
      <w:r w:rsidR="006719B5">
        <w:rPr>
          <w:rFonts w:ascii="Verdana" w:hAnsi="Verdana"/>
          <w:color w:val="000000" w:themeColor="text1"/>
          <w:sz w:val="24"/>
          <w:szCs w:val="24"/>
        </w:rPr>
        <w:t>malpractice.  This policy applies to all staff and students at CANTO Learning.</w:t>
      </w:r>
    </w:p>
    <w:p w14:paraId="594E9121" w14:textId="77777777" w:rsidR="005A1D34" w:rsidRDefault="005A1D34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36229108" w14:textId="77777777" w:rsidR="005A1D34" w:rsidRDefault="005A1D34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The college has an obligation to its students and awarding bodies to ensure that the </w:t>
      </w:r>
      <w:r w:rsidR="00443ABA">
        <w:rPr>
          <w:rFonts w:ascii="Verdana" w:hAnsi="Verdana"/>
          <w:color w:val="000000" w:themeColor="text1"/>
          <w:sz w:val="24"/>
          <w:szCs w:val="24"/>
        </w:rPr>
        <w:t>qualifications its studen</w:t>
      </w:r>
      <w:r w:rsidR="005C54D0">
        <w:rPr>
          <w:rFonts w:ascii="Verdana" w:hAnsi="Verdana"/>
          <w:color w:val="000000" w:themeColor="text1"/>
          <w:sz w:val="24"/>
          <w:szCs w:val="24"/>
        </w:rPr>
        <w:t xml:space="preserve">ts receive are </w:t>
      </w:r>
      <w:r w:rsidR="006719B5">
        <w:rPr>
          <w:rFonts w:ascii="Verdana" w:hAnsi="Verdana"/>
          <w:color w:val="000000" w:themeColor="text1"/>
          <w:sz w:val="24"/>
          <w:szCs w:val="24"/>
        </w:rPr>
        <w:t xml:space="preserve">an </w:t>
      </w:r>
      <w:r w:rsidR="005C54D0">
        <w:rPr>
          <w:rFonts w:ascii="Verdana" w:hAnsi="Verdana"/>
          <w:color w:val="000000" w:themeColor="text1"/>
          <w:sz w:val="24"/>
          <w:szCs w:val="24"/>
        </w:rPr>
        <w:t xml:space="preserve">accurate representation of their work and of the knowledge and skills attained.  If a student passes an assessment, or gets a qualification, by unfair means then this is unfair to those who have achieved the same qualification.  </w:t>
      </w:r>
    </w:p>
    <w:p w14:paraId="6722A4EA" w14:textId="77777777" w:rsidR="005C54D0" w:rsidRDefault="005C54D0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371D8A03" w14:textId="77777777" w:rsidR="005C54D0" w:rsidRDefault="006719B5" w:rsidP="005A1D3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Aim of the policy</w:t>
      </w:r>
    </w:p>
    <w:p w14:paraId="0344693D" w14:textId="77777777" w:rsidR="005C54D0" w:rsidRDefault="005C54D0" w:rsidP="005A1D34">
      <w:pPr>
        <w:spacing w:after="0"/>
        <w:rPr>
          <w:rFonts w:ascii="Verdana" w:hAnsi="Verdana"/>
          <w:sz w:val="24"/>
          <w:szCs w:val="24"/>
        </w:rPr>
      </w:pPr>
    </w:p>
    <w:p w14:paraId="7285FBF5" w14:textId="2105A34D" w:rsidR="00DF1F00" w:rsidRDefault="00DF1F00" w:rsidP="005A1D3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maintain the principles of CANTO Learning </w:t>
      </w:r>
      <w:r w:rsidR="00891CE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nd its qualifications.</w:t>
      </w:r>
    </w:p>
    <w:p w14:paraId="191FEC0E" w14:textId="77777777" w:rsidR="00DF1F00" w:rsidRDefault="00DF1F00" w:rsidP="005A1D34">
      <w:pPr>
        <w:spacing w:after="0"/>
        <w:rPr>
          <w:rFonts w:ascii="Verdana" w:hAnsi="Verdana"/>
          <w:sz w:val="24"/>
          <w:szCs w:val="24"/>
        </w:rPr>
      </w:pPr>
    </w:p>
    <w:p w14:paraId="78AF9DD7" w14:textId="77777777" w:rsidR="00DF1F00" w:rsidRDefault="00DF1F00" w:rsidP="005A1D3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minimise</w:t>
      </w:r>
      <w:r w:rsidR="00EB2246">
        <w:rPr>
          <w:rFonts w:ascii="Verdana" w:hAnsi="Verdana"/>
          <w:sz w:val="24"/>
          <w:szCs w:val="24"/>
        </w:rPr>
        <w:t xml:space="preserve"> the risk of malpractice by staff and students.</w:t>
      </w:r>
    </w:p>
    <w:p w14:paraId="04472943" w14:textId="77777777" w:rsidR="00EB2246" w:rsidRDefault="00EB2246" w:rsidP="005A1D34">
      <w:pPr>
        <w:spacing w:after="0"/>
        <w:rPr>
          <w:rFonts w:ascii="Verdana" w:hAnsi="Verdana"/>
          <w:sz w:val="24"/>
          <w:szCs w:val="24"/>
        </w:rPr>
      </w:pPr>
    </w:p>
    <w:p w14:paraId="39068F09" w14:textId="77777777" w:rsidR="00EB2246" w:rsidRDefault="00EB2246" w:rsidP="005A1D3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that there is standardisation in the investigations of malpractice and that this process remains fair.</w:t>
      </w:r>
    </w:p>
    <w:p w14:paraId="4BAA1FBD" w14:textId="77777777" w:rsidR="00EB2246" w:rsidRDefault="00EB2246" w:rsidP="005A1D34">
      <w:pPr>
        <w:spacing w:after="0"/>
        <w:rPr>
          <w:rFonts w:ascii="Verdana" w:hAnsi="Verdana"/>
          <w:sz w:val="24"/>
          <w:szCs w:val="24"/>
        </w:rPr>
      </w:pPr>
    </w:p>
    <w:p w14:paraId="58907CD6" w14:textId="77777777" w:rsidR="00EB2246" w:rsidRDefault="00EB2246" w:rsidP="005A1D3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ensure appropriate actions are taken when an incident of malpractice occurs and is proven.</w:t>
      </w:r>
    </w:p>
    <w:p w14:paraId="3A11FC27" w14:textId="77777777" w:rsidR="00EB2246" w:rsidRDefault="00EB2246" w:rsidP="005A1D34">
      <w:pPr>
        <w:spacing w:after="0"/>
        <w:rPr>
          <w:rFonts w:ascii="Verdana" w:hAnsi="Verdana"/>
          <w:sz w:val="24"/>
          <w:szCs w:val="24"/>
        </w:rPr>
      </w:pPr>
    </w:p>
    <w:p w14:paraId="5F0338E9" w14:textId="7B5CF1A9" w:rsidR="00EB2246" w:rsidRDefault="00EB2246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CANTO Learning will:</w:t>
      </w:r>
    </w:p>
    <w:p w14:paraId="19AB2D32" w14:textId="77777777" w:rsidR="00EB2246" w:rsidRDefault="00EB2246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56F195E1" w14:textId="77777777" w:rsidR="00EB2246" w:rsidRDefault="00EB2246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Ensure that students declare and sign to say </w:t>
      </w:r>
      <w:r w:rsidR="005A444A">
        <w:rPr>
          <w:rFonts w:ascii="Verdana" w:hAnsi="Verdana"/>
          <w:color w:val="000000" w:themeColor="text1"/>
          <w:sz w:val="24"/>
          <w:szCs w:val="24"/>
        </w:rPr>
        <w:t xml:space="preserve">the </w:t>
      </w:r>
      <w:r>
        <w:rPr>
          <w:rFonts w:ascii="Verdana" w:hAnsi="Verdana"/>
          <w:color w:val="000000" w:themeColor="text1"/>
          <w:sz w:val="24"/>
          <w:szCs w:val="24"/>
        </w:rPr>
        <w:t>work is their own.</w:t>
      </w:r>
    </w:p>
    <w:p w14:paraId="0D0FB3DB" w14:textId="77777777" w:rsidR="00EB2246" w:rsidRDefault="00EB2246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2E73873E" w14:textId="77777777" w:rsidR="00EB2246" w:rsidRDefault="00EB2246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Ensure that to the best of their ability</w:t>
      </w:r>
      <w:r w:rsidR="005A444A">
        <w:rPr>
          <w:rFonts w:ascii="Verdana" w:hAnsi="Verdana"/>
          <w:color w:val="000000" w:themeColor="text1"/>
          <w:sz w:val="24"/>
          <w:szCs w:val="24"/>
        </w:rPr>
        <w:t>,</w:t>
      </w:r>
      <w:r>
        <w:rPr>
          <w:rFonts w:ascii="Verdana" w:hAnsi="Verdana"/>
          <w:color w:val="000000" w:themeColor="text1"/>
          <w:sz w:val="24"/>
          <w:szCs w:val="24"/>
        </w:rPr>
        <w:t xml:space="preserve"> students understand the importance of ensuring they submit their own work and the impact failing to do so could have.</w:t>
      </w:r>
    </w:p>
    <w:p w14:paraId="21180F38" w14:textId="77777777" w:rsidR="00EB2246" w:rsidRDefault="00EB2246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330CABF0" w14:textId="77777777" w:rsidR="00EB2246" w:rsidRDefault="00EB2246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Provide guidance when required on how </w:t>
      </w:r>
      <w:r w:rsidR="005A444A">
        <w:rPr>
          <w:rFonts w:ascii="Verdana" w:hAnsi="Verdana"/>
          <w:color w:val="000000" w:themeColor="text1"/>
          <w:sz w:val="24"/>
          <w:szCs w:val="24"/>
        </w:rPr>
        <w:t>to correctly source information from other sources such as the web, books etc.</w:t>
      </w:r>
    </w:p>
    <w:p w14:paraId="082CF2CD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3F6B696E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Ensure that any investigation that takes place is sympathetic to all parties whilst maintaining high professional standards.  Any investigation should:</w:t>
      </w:r>
    </w:p>
    <w:p w14:paraId="16B87B54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Make the individual aware at the earliest opportunity of the nature of the concern.</w:t>
      </w:r>
    </w:p>
    <w:p w14:paraId="3E5FFB3D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(</w:t>
      </w:r>
      <w:r w:rsidR="000A0DD4">
        <w:rPr>
          <w:rFonts w:ascii="Verdana" w:hAnsi="Verdana"/>
          <w:color w:val="000000" w:themeColor="text1"/>
          <w:sz w:val="24"/>
          <w:szCs w:val="24"/>
        </w:rPr>
        <w:t>I</w:t>
      </w:r>
      <w:r>
        <w:rPr>
          <w:rFonts w:ascii="Verdana" w:hAnsi="Verdana"/>
          <w:color w:val="000000" w:themeColor="text1"/>
          <w:sz w:val="24"/>
          <w:szCs w:val="24"/>
        </w:rPr>
        <w:t>f appropriate support should be offered to ensure the individual understands the allegation and can provide their best response).</w:t>
      </w:r>
    </w:p>
    <w:p w14:paraId="03363612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Ensure the individual understands as best they can the process and the right they have to appeal any decision.</w:t>
      </w:r>
    </w:p>
    <w:p w14:paraId="51C4FB06" w14:textId="77777777" w:rsidR="005A444A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Ensure that the process is appropriately documented.</w:t>
      </w:r>
    </w:p>
    <w:p w14:paraId="0CDEEEA6" w14:textId="77777777" w:rsidR="005A444A" w:rsidRDefault="00ED7652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lastRenderedPageBreak/>
        <w:t>Definition of Malpractice by Students</w:t>
      </w:r>
    </w:p>
    <w:p w14:paraId="5F761C23" w14:textId="77777777" w:rsidR="00ED7652" w:rsidRDefault="00ED7652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51224FA4" w14:textId="77777777" w:rsidR="00ED7652" w:rsidRDefault="00ED7652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Examples of malpractice are given but other instances may be considered by the college i</w:t>
      </w:r>
      <w:r w:rsidR="000A0DD4">
        <w:rPr>
          <w:rFonts w:ascii="Verdana" w:hAnsi="Verdana"/>
          <w:color w:val="000000" w:themeColor="text1"/>
          <w:sz w:val="24"/>
          <w:szCs w:val="24"/>
        </w:rPr>
        <w:t>f</w:t>
      </w:r>
      <w:r>
        <w:rPr>
          <w:rFonts w:ascii="Verdana" w:hAnsi="Verdana"/>
          <w:color w:val="000000" w:themeColor="text1"/>
          <w:sz w:val="24"/>
          <w:szCs w:val="24"/>
        </w:rPr>
        <w:t xml:space="preserve"> appropriate:</w:t>
      </w:r>
    </w:p>
    <w:p w14:paraId="2C563A1E" w14:textId="77777777" w:rsidR="00ED7652" w:rsidRDefault="00ED7652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03006E30" w14:textId="77777777" w:rsidR="00ED7652" w:rsidRDefault="00ED7652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Plagiarism of any </w:t>
      </w:r>
      <w:r w:rsidR="00D0151F">
        <w:rPr>
          <w:rFonts w:ascii="Verdana" w:hAnsi="Verdana"/>
          <w:color w:val="000000" w:themeColor="text1"/>
          <w:sz w:val="24"/>
          <w:szCs w:val="24"/>
        </w:rPr>
        <w:t>kind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14:paraId="428FE062" w14:textId="77777777" w:rsidR="00ED7652" w:rsidRDefault="00ED7652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</w:t>
      </w:r>
      <w:r w:rsidR="00D0151F">
        <w:rPr>
          <w:rFonts w:ascii="Verdana" w:hAnsi="Verdana"/>
          <w:color w:val="000000" w:themeColor="text1"/>
          <w:sz w:val="24"/>
          <w:szCs w:val="24"/>
        </w:rPr>
        <w:t>orking with another or in a group to produce work but submitting the work as if it were solely that of an individual.</w:t>
      </w:r>
    </w:p>
    <w:p w14:paraId="249FEB3E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Copying of another’s work.</w:t>
      </w:r>
    </w:p>
    <w:p w14:paraId="261079A0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Deliberately destroying another student’s work.</w:t>
      </w:r>
    </w:p>
    <w:p w14:paraId="6116A945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Making a false declaration about work contained within a portfolio or assessment.</w:t>
      </w:r>
    </w:p>
    <w:p w14:paraId="3D68941C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7006BA0E" w14:textId="77777777" w:rsidR="00D0151F" w:rsidRDefault="00D0151F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Definition of Malpractice by College Staff</w:t>
      </w:r>
    </w:p>
    <w:p w14:paraId="4D1C9AA7" w14:textId="77777777" w:rsidR="00D0151F" w:rsidRDefault="00D0151F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5D65E457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Inappropriate assistance to candidates.</w:t>
      </w:r>
    </w:p>
    <w:p w14:paraId="28F5B81F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Inappropriate awarding of marks for students work when there is insufficient evidence to support the marking or assessment decision.</w:t>
      </w:r>
    </w:p>
    <w:p w14:paraId="75A540EB" w14:textId="53D1370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Failure to keep student</w:t>
      </w:r>
      <w:r w:rsidR="00DA4938">
        <w:rPr>
          <w:rFonts w:ascii="Verdana" w:hAnsi="Verdana"/>
          <w:color w:val="000000" w:themeColor="text1"/>
          <w:sz w:val="24"/>
          <w:szCs w:val="24"/>
        </w:rPr>
        <w:t>’</w:t>
      </w:r>
      <w:r>
        <w:rPr>
          <w:rFonts w:ascii="Verdana" w:hAnsi="Verdana"/>
          <w:color w:val="000000" w:themeColor="text1"/>
          <w:sz w:val="24"/>
          <w:szCs w:val="24"/>
        </w:rPr>
        <w:t>s portfolios or assessment securely.</w:t>
      </w:r>
    </w:p>
    <w:p w14:paraId="5FB87865" w14:textId="77777777" w:rsidR="00D0151F" w:rsidRDefault="00D0151F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Assisting students in the production of work that would be outside of bounds of </w:t>
      </w:r>
      <w:r w:rsidR="00EC0D37">
        <w:rPr>
          <w:rFonts w:ascii="Verdana" w:hAnsi="Verdana"/>
          <w:color w:val="000000" w:themeColor="text1"/>
          <w:sz w:val="24"/>
          <w:szCs w:val="24"/>
        </w:rPr>
        <w:t>additional support for SEN students, special learner requirements</w:t>
      </w:r>
      <w:r w:rsidR="000A0DD4">
        <w:rPr>
          <w:rFonts w:ascii="Verdana" w:hAnsi="Verdana"/>
          <w:color w:val="000000" w:themeColor="text1"/>
          <w:sz w:val="24"/>
          <w:szCs w:val="24"/>
        </w:rPr>
        <w:t>.</w:t>
      </w:r>
    </w:p>
    <w:p w14:paraId="42EFB2CD" w14:textId="77777777" w:rsidR="00EC0D37" w:rsidRDefault="00EC0D37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Producing falsified witness/observation statements to support achievement.</w:t>
      </w:r>
    </w:p>
    <w:p w14:paraId="00AB42D6" w14:textId="77777777" w:rsidR="00EC0D37" w:rsidRDefault="00EC0D37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Allowing evidence that is known </w:t>
      </w:r>
      <w:r w:rsidR="000A0DD4">
        <w:rPr>
          <w:rFonts w:ascii="Verdana" w:hAnsi="Verdana"/>
          <w:color w:val="000000" w:themeColor="text1"/>
          <w:sz w:val="24"/>
          <w:szCs w:val="24"/>
        </w:rPr>
        <w:t xml:space="preserve">not to be </w:t>
      </w:r>
      <w:r>
        <w:rPr>
          <w:rFonts w:ascii="Verdana" w:hAnsi="Verdana"/>
          <w:color w:val="000000" w:themeColor="text1"/>
          <w:sz w:val="24"/>
          <w:szCs w:val="24"/>
        </w:rPr>
        <w:t>the students to be included in a portfolio.</w:t>
      </w:r>
    </w:p>
    <w:p w14:paraId="452FAF7C" w14:textId="64E04752" w:rsidR="00EC0D37" w:rsidRDefault="00EC0D37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Making false claims for certificates.</w:t>
      </w:r>
    </w:p>
    <w:p w14:paraId="0B1D0350" w14:textId="7314C477" w:rsidR="00EF547C" w:rsidRDefault="00EF547C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7EC1F01A" w14:textId="712524C8" w:rsidR="00EF547C" w:rsidRDefault="00EF547C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p w14:paraId="3900F8EE" w14:textId="043D946B" w:rsidR="00EF547C" w:rsidRPr="00EF547C" w:rsidRDefault="00EF547C" w:rsidP="005A1D34">
      <w:pPr>
        <w:spacing w:after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Created on 28</w:t>
      </w:r>
      <w:r w:rsidRPr="00EF547C">
        <w:rPr>
          <w:rFonts w:ascii="Verdana" w:hAnsi="Verdana"/>
          <w:color w:val="000000" w:themeColor="text1"/>
          <w:sz w:val="18"/>
          <w:szCs w:val="18"/>
          <w:vertAlign w:val="superscript"/>
        </w:rPr>
        <w:t>th</w:t>
      </w:r>
      <w:r>
        <w:rPr>
          <w:rFonts w:ascii="Verdana" w:hAnsi="Verdana"/>
          <w:color w:val="000000" w:themeColor="text1"/>
          <w:sz w:val="18"/>
          <w:szCs w:val="18"/>
        </w:rPr>
        <w:t xml:space="preserve"> January 2019</w:t>
      </w:r>
    </w:p>
    <w:p w14:paraId="516BF42D" w14:textId="77777777" w:rsidR="00D0151F" w:rsidRDefault="00D0151F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35833645" w14:textId="77777777" w:rsidR="00D0151F" w:rsidRPr="00D0151F" w:rsidRDefault="00D0151F" w:rsidP="005A1D34">
      <w:pPr>
        <w:spacing w:after="0"/>
        <w:rPr>
          <w:rFonts w:ascii="Verdana" w:hAnsi="Verdana"/>
          <w:b/>
          <w:color w:val="7030A0"/>
          <w:sz w:val="24"/>
          <w:szCs w:val="24"/>
        </w:rPr>
      </w:pPr>
    </w:p>
    <w:p w14:paraId="05C5B954" w14:textId="77777777" w:rsidR="005A444A" w:rsidRPr="00EB2246" w:rsidRDefault="005A444A" w:rsidP="005A1D34">
      <w:pPr>
        <w:spacing w:after="0"/>
        <w:rPr>
          <w:rFonts w:ascii="Verdana" w:hAnsi="Verdana"/>
          <w:color w:val="000000" w:themeColor="text1"/>
          <w:sz w:val="24"/>
          <w:szCs w:val="24"/>
        </w:rPr>
      </w:pPr>
    </w:p>
    <w:sectPr w:rsidR="005A444A" w:rsidRPr="00EB2246" w:rsidSect="008656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FDA23" w14:textId="77777777" w:rsidR="00D032DF" w:rsidRDefault="00D032DF" w:rsidP="00865684">
      <w:pPr>
        <w:spacing w:after="0" w:line="240" w:lineRule="auto"/>
      </w:pPr>
      <w:r>
        <w:separator/>
      </w:r>
    </w:p>
  </w:endnote>
  <w:endnote w:type="continuationSeparator" w:id="0">
    <w:p w14:paraId="28561B64" w14:textId="77777777" w:rsidR="00D032DF" w:rsidRDefault="00D032DF" w:rsidP="0086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2885" w14:textId="77777777" w:rsidR="00865684" w:rsidRDefault="0086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519D" w14:textId="77777777" w:rsidR="00D032DF" w:rsidRDefault="00D032DF" w:rsidP="00865684">
      <w:pPr>
        <w:spacing w:after="0" w:line="240" w:lineRule="auto"/>
      </w:pPr>
      <w:r>
        <w:separator/>
      </w:r>
    </w:p>
  </w:footnote>
  <w:footnote w:type="continuationSeparator" w:id="0">
    <w:p w14:paraId="5DA261CB" w14:textId="77777777" w:rsidR="00D032DF" w:rsidRDefault="00D032DF" w:rsidP="00865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84"/>
    <w:rsid w:val="000303BA"/>
    <w:rsid w:val="00041B72"/>
    <w:rsid w:val="00071A4F"/>
    <w:rsid w:val="0007286F"/>
    <w:rsid w:val="00074273"/>
    <w:rsid w:val="00077694"/>
    <w:rsid w:val="00087948"/>
    <w:rsid w:val="000A0DD4"/>
    <w:rsid w:val="000A5682"/>
    <w:rsid w:val="00135F15"/>
    <w:rsid w:val="00154F1A"/>
    <w:rsid w:val="00181DE5"/>
    <w:rsid w:val="001C7C4B"/>
    <w:rsid w:val="00316247"/>
    <w:rsid w:val="00352CCC"/>
    <w:rsid w:val="00412A26"/>
    <w:rsid w:val="00420D44"/>
    <w:rsid w:val="00443ABA"/>
    <w:rsid w:val="00487A10"/>
    <w:rsid w:val="005221A7"/>
    <w:rsid w:val="00524CE2"/>
    <w:rsid w:val="00554125"/>
    <w:rsid w:val="005A1D34"/>
    <w:rsid w:val="005A444A"/>
    <w:rsid w:val="005C54D0"/>
    <w:rsid w:val="00602623"/>
    <w:rsid w:val="00603E86"/>
    <w:rsid w:val="0061142A"/>
    <w:rsid w:val="0064550D"/>
    <w:rsid w:val="006719B5"/>
    <w:rsid w:val="006D7B7A"/>
    <w:rsid w:val="007C210B"/>
    <w:rsid w:val="007D271F"/>
    <w:rsid w:val="008474CC"/>
    <w:rsid w:val="00865684"/>
    <w:rsid w:val="0088538E"/>
    <w:rsid w:val="00891CD8"/>
    <w:rsid w:val="00891CE8"/>
    <w:rsid w:val="008C6AFC"/>
    <w:rsid w:val="008E68E7"/>
    <w:rsid w:val="009D0D45"/>
    <w:rsid w:val="00AA6280"/>
    <w:rsid w:val="00B71009"/>
    <w:rsid w:val="00BC4F7F"/>
    <w:rsid w:val="00C07F76"/>
    <w:rsid w:val="00C3396B"/>
    <w:rsid w:val="00C90813"/>
    <w:rsid w:val="00CB2098"/>
    <w:rsid w:val="00D0151F"/>
    <w:rsid w:val="00D032DF"/>
    <w:rsid w:val="00D64C09"/>
    <w:rsid w:val="00D65C1C"/>
    <w:rsid w:val="00D91D8E"/>
    <w:rsid w:val="00DA4938"/>
    <w:rsid w:val="00DF1F00"/>
    <w:rsid w:val="00DF27E0"/>
    <w:rsid w:val="00E77B6F"/>
    <w:rsid w:val="00EB2246"/>
    <w:rsid w:val="00EC0D37"/>
    <w:rsid w:val="00EC6FFC"/>
    <w:rsid w:val="00ED7652"/>
    <w:rsid w:val="00EF547C"/>
    <w:rsid w:val="00F47CB4"/>
    <w:rsid w:val="00F53C79"/>
    <w:rsid w:val="00FE3738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6102"/>
  <w15:docId w15:val="{450E715E-24E8-4844-85B5-C6E7EAF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84"/>
  </w:style>
  <w:style w:type="paragraph" w:styleId="Footer">
    <w:name w:val="footer"/>
    <w:basedOn w:val="Normal"/>
    <w:link w:val="FooterChar"/>
    <w:unhideWhenUsed/>
    <w:rsid w:val="00865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0EA9-9EC8-4811-AC75-27ED2F6D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Haydn Dear</cp:lastModifiedBy>
  <cp:revision>2</cp:revision>
  <cp:lastPrinted>2015-04-15T09:10:00Z</cp:lastPrinted>
  <dcterms:created xsi:type="dcterms:W3CDTF">2020-03-25T15:46:00Z</dcterms:created>
  <dcterms:modified xsi:type="dcterms:W3CDTF">2020-03-25T15:46:00Z</dcterms:modified>
</cp:coreProperties>
</file>